
<file path=[Content_Types].xml><?xml version="1.0" encoding="utf-8"?>
<Types xmlns="http://schemas.openxmlformats.org/package/2006/content-types"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drawings/drawing1.xml" ContentType="application/vnd.openxmlformats-officedocument.drawingml.chartshap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E0ABBA" w14:textId="77777777" w:rsidR="00E63162" w:rsidRDefault="00E63162" w:rsidP="00E63162">
      <w:pPr>
        <w:rPr>
          <w:rStyle w:val="normaltextrun"/>
          <w:rFonts w:ascii="Times New Roman" w:hAnsi="Times New Roman" w:cs="Times New Roman"/>
          <w:color w:val="000000"/>
          <w:shd w:val="clear" w:color="auto" w:fill="FFFFFF"/>
        </w:rPr>
      </w:pPr>
      <w:r>
        <w:rPr>
          <w:rStyle w:val="normaltextrun"/>
          <w:rFonts w:ascii="Times New Roman" w:hAnsi="Times New Roman" w:cs="Times New Roman"/>
          <w:color w:val="000000"/>
          <w:shd w:val="clear" w:color="auto" w:fill="FFFFFF"/>
        </w:rPr>
        <w:t>Mississippi's Long-Running Poor Health Care Performance: Malignant Neglect or Complacency?</w:t>
      </w:r>
    </w:p>
    <w:p w14:paraId="3C63CEAF" w14:textId="77777777" w:rsidR="00E16A41" w:rsidRDefault="00E16A41"/>
    <w:p w14:paraId="7E6B7FDE" w14:textId="77777777" w:rsidR="00E0044D" w:rsidRDefault="00E0044D"/>
    <w:p w14:paraId="39D920F6" w14:textId="77777777" w:rsidR="00E0044D" w:rsidRDefault="00E0044D"/>
    <w:p w14:paraId="221C766C" w14:textId="77777777" w:rsidR="00E0044D" w:rsidRDefault="00E0044D"/>
    <w:p w14:paraId="5923E5CC" w14:textId="77777777" w:rsidR="00E16A41" w:rsidRDefault="00E16A41"/>
    <w:p w14:paraId="03594615" w14:textId="54631261" w:rsidR="001B5E28" w:rsidRDefault="001B5E28">
      <w:r>
        <w:t xml:space="preserve">Figure </w:t>
      </w:r>
      <w:r w:rsidR="00E16A41">
        <w:t>3</w:t>
      </w:r>
      <w:r>
        <w:t>:</w:t>
      </w:r>
    </w:p>
    <w:p w14:paraId="0DF6E6AC" w14:textId="19813744" w:rsidR="001B5E28" w:rsidRDefault="00114CA7">
      <w:r>
        <w:rPr>
          <w:noProof/>
        </w:rPr>
        <w:drawing>
          <wp:inline distT="0" distB="0" distL="0" distR="0" wp14:anchorId="0D31E5C7" wp14:editId="54209992">
            <wp:extent cx="5923965" cy="3921262"/>
            <wp:effectExtent l="0" t="0" r="635" b="3175"/>
            <wp:docPr id="1907854295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926EEEEC-08CC-43AF-959A-6BB75DDECE2F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14:paraId="099319F8" w14:textId="77777777" w:rsidR="001B5E28" w:rsidRDefault="001B5E28"/>
    <w:p w14:paraId="2A0145B1" w14:textId="77777777" w:rsidR="001B5E28" w:rsidRDefault="001B5E28"/>
    <w:p w14:paraId="35CCCC8C" w14:textId="77777777" w:rsidR="001B5E28" w:rsidRDefault="001B5E28"/>
    <w:p w14:paraId="15F43AE4" w14:textId="77777777" w:rsidR="00E0044D" w:rsidRDefault="00E0044D"/>
    <w:p w14:paraId="44E28CC3" w14:textId="77777777" w:rsidR="00E0044D" w:rsidRDefault="00E0044D"/>
    <w:p w14:paraId="03A21786" w14:textId="77777777" w:rsidR="00E0044D" w:rsidRDefault="00E0044D"/>
    <w:p w14:paraId="0309FA46" w14:textId="77777777" w:rsidR="00E0044D" w:rsidRDefault="00E0044D"/>
    <w:p w14:paraId="2B933F67" w14:textId="77777777" w:rsidR="00E0044D" w:rsidRDefault="00E0044D"/>
    <w:p w14:paraId="3E6CB01D" w14:textId="2F7FA050" w:rsidR="001B5E28" w:rsidRDefault="001B5E28"/>
    <w:p w14:paraId="0FE9E498" w14:textId="77777777" w:rsidR="001B5E28" w:rsidRDefault="001B5E28"/>
    <w:p w14:paraId="4789FC90" w14:textId="77777777" w:rsidR="001B5E28" w:rsidRDefault="001B5E28"/>
    <w:p w14:paraId="204BA75A" w14:textId="77777777" w:rsidR="001B5E28" w:rsidRDefault="001B5E28"/>
    <w:p w14:paraId="288FB451" w14:textId="77777777" w:rsidR="001B5E28" w:rsidRDefault="001B5E28"/>
    <w:p w14:paraId="644EEC6F" w14:textId="77777777" w:rsidR="001B5E28" w:rsidRDefault="001B5E28"/>
    <w:p w14:paraId="74359D72" w14:textId="77777777" w:rsidR="001B5E28" w:rsidRDefault="001B5E28"/>
    <w:p w14:paraId="61A48B8E" w14:textId="77777777" w:rsidR="001B5E28" w:rsidRDefault="001B5E28"/>
    <w:p w14:paraId="64C2BE88" w14:textId="77777777" w:rsidR="001B5E28" w:rsidRDefault="001B5E28"/>
    <w:p w14:paraId="0AF54111" w14:textId="77777777" w:rsidR="001B5E28" w:rsidRDefault="001B5E28"/>
    <w:sectPr w:rsidR="001B5E2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zSxNDUzMDOzNDc2MjZS0lEKTi0uzszPAykwqgUARMY/HywAAAA="/>
  </w:docVars>
  <w:rsids>
    <w:rsidRoot w:val="001B5E28"/>
    <w:rsid w:val="00114CA7"/>
    <w:rsid w:val="00197D24"/>
    <w:rsid w:val="001A6F2E"/>
    <w:rsid w:val="001B5E28"/>
    <w:rsid w:val="004D0ECB"/>
    <w:rsid w:val="00500714"/>
    <w:rsid w:val="005D0D66"/>
    <w:rsid w:val="00622650"/>
    <w:rsid w:val="00840555"/>
    <w:rsid w:val="008539CE"/>
    <w:rsid w:val="008E3529"/>
    <w:rsid w:val="00997226"/>
    <w:rsid w:val="00AF05D1"/>
    <w:rsid w:val="00C438C9"/>
    <w:rsid w:val="00C91544"/>
    <w:rsid w:val="00E0044D"/>
    <w:rsid w:val="00E16A41"/>
    <w:rsid w:val="00E63162"/>
    <w:rsid w:val="00F86AB6"/>
    <w:rsid w:val="00FB7C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B91B9C9"/>
  <w15:chartTrackingRefBased/>
  <w15:docId w15:val="{5CC14B20-CC12-4882-95FE-8866AB9830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B5E2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5E2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5E2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5E2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5E2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B5E2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5E2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5E2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5E2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5E2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5E2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5E2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5E2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5E2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B5E2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5E2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5E2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5E2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B5E2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B5E2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B5E2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B5E2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B5E2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B5E2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B5E2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B5E2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B5E2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B5E2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B5E28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1B5E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rmaltextrun">
    <w:name w:val="normaltextrun"/>
    <w:basedOn w:val="DefaultParagraphFont"/>
    <w:rsid w:val="00E6316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9665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98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57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5" Type="http://schemas.openxmlformats.org/officeDocument/2006/relationships/chartUserShapes" Target="../drawings/drawing1.xml"/><Relationship Id="rId4" Type="http://schemas.openxmlformats.org/officeDocument/2006/relationships/package" Target="../embeddings/Microsoft_Excel_Worksheet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Mississippi:</a:t>
            </a:r>
            <a:r>
              <a:rPr lang="en-US" baseline="0"/>
              <a:t> Regional Ranking on Health System Performance among South Eastern States (2019 - 2023).</a:t>
            </a:r>
            <a:endParaRPr lang="en-US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view3D>
      <c:rotX val="15"/>
      <c:rotY val="20"/>
      <c:depthPercent val="100"/>
      <c:rAngAx val="1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>
        <c:manualLayout>
          <c:layoutTarget val="inner"/>
          <c:xMode val="edge"/>
          <c:yMode val="edge"/>
          <c:x val="0.10104786236920711"/>
          <c:y val="0.15047970210933478"/>
          <c:w val="0.87965762795695113"/>
          <c:h val="0.53231823647499454"/>
        </c:manualLayout>
      </c:layout>
      <c:bar3DChart>
        <c:barDir val="col"/>
        <c:grouping val="clustered"/>
        <c:varyColors val="0"/>
        <c:ser>
          <c:idx val="1"/>
          <c:order val="1"/>
          <c:tx>
            <c:v>2019</c:v>
          </c:tx>
          <c:spPr>
            <a:solidFill>
              <a:schemeClr val="accent2"/>
            </a:solidFill>
            <a:ln>
              <a:noFill/>
            </a:ln>
            <a:effectLst/>
            <a:sp3d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Sheet1!$H$1:$K$1</c:f>
              <c:strCache>
                <c:ptCount val="4"/>
                <c:pt idx="0">
                  <c:v>Ranking: overall</c:v>
                </c:pt>
                <c:pt idx="1">
                  <c:v> Access &amp; Affordability</c:v>
                </c:pt>
                <c:pt idx="2">
                  <c:v>Prevention &amp; Treatment</c:v>
                </c:pt>
                <c:pt idx="3">
                  <c:v>Healthy lives</c:v>
                </c:pt>
              </c:strCache>
            </c:strRef>
          </c:cat>
          <c:val>
            <c:numRef>
              <c:f>Sheet1!$H$3:$K$3</c:f>
              <c:numCache>
                <c:formatCode>General</c:formatCode>
                <c:ptCount val="4"/>
                <c:pt idx="0">
                  <c:v>12</c:v>
                </c:pt>
                <c:pt idx="1">
                  <c:v>10</c:v>
                </c:pt>
                <c:pt idx="2">
                  <c:v>10</c:v>
                </c:pt>
                <c:pt idx="3">
                  <c:v>11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E7B-436A-9EE5-A1047520F0C6}"/>
            </c:ext>
          </c:extLst>
        </c:ser>
        <c:ser>
          <c:idx val="2"/>
          <c:order val="2"/>
          <c:tx>
            <c:v>2020</c:v>
          </c:tx>
          <c:spPr>
            <a:solidFill>
              <a:schemeClr val="accent3"/>
            </a:solidFill>
            <a:ln>
              <a:noFill/>
            </a:ln>
            <a:effectLst/>
            <a:sp3d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Sheet1!$H$1:$K$1</c:f>
              <c:strCache>
                <c:ptCount val="4"/>
                <c:pt idx="0">
                  <c:v>Ranking: overall</c:v>
                </c:pt>
                <c:pt idx="1">
                  <c:v> Access &amp; Affordability</c:v>
                </c:pt>
                <c:pt idx="2">
                  <c:v>Prevention &amp; Treatment</c:v>
                </c:pt>
                <c:pt idx="3">
                  <c:v>Healthy lives</c:v>
                </c:pt>
              </c:strCache>
            </c:strRef>
          </c:cat>
          <c:val>
            <c:numRef>
              <c:f>Sheet1!$H$4:$K$4</c:f>
              <c:numCache>
                <c:formatCode>General</c:formatCode>
                <c:ptCount val="4"/>
                <c:pt idx="0">
                  <c:v>12</c:v>
                </c:pt>
                <c:pt idx="1">
                  <c:v>12</c:v>
                </c:pt>
                <c:pt idx="2">
                  <c:v>12</c:v>
                </c:pt>
                <c:pt idx="3">
                  <c:v>11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DE7B-436A-9EE5-A1047520F0C6}"/>
            </c:ext>
          </c:extLst>
        </c:ser>
        <c:ser>
          <c:idx val="3"/>
          <c:order val="3"/>
          <c:tx>
            <c:v>2022</c:v>
          </c:tx>
          <c:spPr>
            <a:solidFill>
              <a:schemeClr val="accent4"/>
            </a:solidFill>
            <a:ln>
              <a:noFill/>
            </a:ln>
            <a:effectLst/>
            <a:sp3d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Sheet1!$H$1:$K$1</c:f>
              <c:strCache>
                <c:ptCount val="4"/>
                <c:pt idx="0">
                  <c:v>Ranking: overall</c:v>
                </c:pt>
                <c:pt idx="1">
                  <c:v> Access &amp; Affordability</c:v>
                </c:pt>
                <c:pt idx="2">
                  <c:v>Prevention &amp; Treatment</c:v>
                </c:pt>
                <c:pt idx="3">
                  <c:v>Healthy lives</c:v>
                </c:pt>
              </c:strCache>
            </c:strRef>
          </c:cat>
          <c:val>
            <c:numRef>
              <c:f>Sheet1!$H$5:$K$5</c:f>
              <c:numCache>
                <c:formatCode>General</c:formatCode>
                <c:ptCount val="4"/>
                <c:pt idx="0">
                  <c:v>12</c:v>
                </c:pt>
                <c:pt idx="1">
                  <c:v>12</c:v>
                </c:pt>
                <c:pt idx="2">
                  <c:v>12</c:v>
                </c:pt>
                <c:pt idx="3">
                  <c:v>11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DE7B-436A-9EE5-A1047520F0C6}"/>
            </c:ext>
          </c:extLst>
        </c:ser>
        <c:ser>
          <c:idx val="4"/>
          <c:order val="4"/>
          <c:tx>
            <c:v>2023</c:v>
          </c:tx>
          <c:spPr>
            <a:solidFill>
              <a:schemeClr val="accent5"/>
            </a:solidFill>
            <a:ln>
              <a:noFill/>
            </a:ln>
            <a:effectLst/>
            <a:sp3d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Sheet1!$H$1:$K$1</c:f>
              <c:strCache>
                <c:ptCount val="4"/>
                <c:pt idx="0">
                  <c:v>Ranking: overall</c:v>
                </c:pt>
                <c:pt idx="1">
                  <c:v> Access &amp; Affordability</c:v>
                </c:pt>
                <c:pt idx="2">
                  <c:v>Prevention &amp; Treatment</c:v>
                </c:pt>
                <c:pt idx="3">
                  <c:v>Healthy lives</c:v>
                </c:pt>
              </c:strCache>
            </c:strRef>
          </c:cat>
          <c:val>
            <c:numRef>
              <c:f>Sheet1!$H$6:$K$6</c:f>
              <c:numCache>
                <c:formatCode>General</c:formatCode>
                <c:ptCount val="4"/>
                <c:pt idx="0">
                  <c:v>12</c:v>
                </c:pt>
                <c:pt idx="1">
                  <c:v>11</c:v>
                </c:pt>
                <c:pt idx="2">
                  <c:v>12</c:v>
                </c:pt>
                <c:pt idx="3">
                  <c:v>11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DE7B-436A-9EE5-A1047520F0C6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shape val="box"/>
        <c:axId val="1156704383"/>
        <c:axId val="1156705343"/>
        <c:axId val="0"/>
        <c:extLst>
          <c:ext xmlns:c15="http://schemas.microsoft.com/office/drawing/2012/chart" uri="{02D57815-91ED-43cb-92C2-25804820EDAC}">
            <c15:filteredBarSeries>
              <c15:ser>
                <c:idx val="0"/>
                <c:order val="0"/>
                <c:spPr>
                  <a:solidFill>
                    <a:schemeClr val="accent1"/>
                  </a:solidFill>
                  <a:ln>
                    <a:noFill/>
                  </a:ln>
                  <a:effectLst/>
                  <a:sp3d/>
                </c:spPr>
                <c:invertIfNegative val="0"/>
                <c:dLbls>
                  <c:spPr>
                    <a:noFill/>
                    <a:ln>
                      <a:noFill/>
                    </a:ln>
                    <a:effectLst/>
                  </c:spPr>
                  <c:txPr>
                    <a:bodyPr rot="0" spcFirstLastPara="1" vertOverflow="ellipsis" vert="horz" wrap="square" lIns="38100" tIns="19050" rIns="38100" bIns="19050" anchor="ctr" anchorCtr="1">
                      <a:spAutoFit/>
                    </a:bodyPr>
                    <a:lstStyle/>
                    <a:p>
                      <a:pPr>
                        <a:defRPr sz="900" b="0" i="0" u="none" strike="noStrike" kern="1200" baseline="0"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  <a:latin typeface="+mn-lt"/>
                          <a:ea typeface="+mn-ea"/>
                          <a:cs typeface="+mn-cs"/>
                        </a:defRPr>
                      </a:pPr>
                      <a:endParaRPr lang="en-US"/>
                    </a:p>
                  </c:txPr>
                  <c:showLegendKey val="0"/>
                  <c:showVal val="1"/>
                  <c:showCatName val="0"/>
                  <c:showSerName val="0"/>
                  <c:showPercent val="0"/>
                  <c:showBubbleSize val="0"/>
                  <c:showLeaderLines val="0"/>
                  <c:extLst>
                    <c:ext uri="{CE6537A1-D6FC-4f65-9D91-7224C49458BB}">
                      <c15:showLeaderLines val="1"/>
                      <c15:leaderLines>
                        <c:spPr>
                          <a:ln w="9525" cap="flat" cmpd="sng" algn="ctr">
                            <a:solidFill>
                              <a:schemeClr val="tx1">
                                <a:lumMod val="35000"/>
                                <a:lumOff val="65000"/>
                              </a:schemeClr>
                            </a:solidFill>
                            <a:round/>
                          </a:ln>
                          <a:effectLst/>
                        </c:spPr>
                      </c15:leaderLines>
                    </c:ext>
                  </c:extLst>
                </c:dLbls>
                <c:cat>
                  <c:strRef>
                    <c:extLst>
                      <c:ext uri="{02D57815-91ED-43cb-92C2-25804820EDAC}">
                        <c15:formulaRef>
                          <c15:sqref>Sheet1!$H$1:$K$1</c15:sqref>
                        </c15:formulaRef>
                      </c:ext>
                    </c:extLst>
                    <c:strCache>
                      <c:ptCount val="4"/>
                      <c:pt idx="0">
                        <c:v>Ranking: overall</c:v>
                      </c:pt>
                      <c:pt idx="1">
                        <c:v> Access &amp; Affordability</c:v>
                      </c:pt>
                      <c:pt idx="2">
                        <c:v>Prevention &amp; Treatment</c:v>
                      </c:pt>
                      <c:pt idx="3">
                        <c:v>Healthy lives</c:v>
                      </c:pt>
                    </c:strCache>
                  </c:strRef>
                </c:cat>
                <c:val>
                  <c:numRef>
                    <c:extLst>
                      <c:ext uri="{02D57815-91ED-43cb-92C2-25804820EDAC}">
                        <c15:formulaRef>
                          <c15:sqref>Sheet1!$H$2:$K$2</c15:sqref>
                        </c15:formulaRef>
                      </c:ext>
                    </c:extLst>
                    <c:numCache>
                      <c:formatCode>General</c:formatCode>
                      <c:ptCount val="4"/>
                    </c:numCache>
                  </c:numRef>
                </c:val>
                <c:extLst>
                  <c:ext xmlns:c16="http://schemas.microsoft.com/office/drawing/2014/chart" uri="{C3380CC4-5D6E-409C-BE32-E72D297353CC}">
                    <c16:uniqueId val="{00000004-DE7B-436A-9EE5-A1047520F0C6}"/>
                  </c:ext>
                </c:extLst>
              </c15:ser>
            </c15:filteredBarSeries>
          </c:ext>
        </c:extLst>
      </c:bar3DChart>
      <c:catAx>
        <c:axId val="1156704383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Year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156705343"/>
        <c:crosses val="autoZero"/>
        <c:auto val="1"/>
        <c:lblAlgn val="ctr"/>
        <c:lblOffset val="100"/>
        <c:noMultiLvlLbl val="0"/>
      </c:catAx>
      <c:valAx>
        <c:axId val="1156705343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Regional</a:t>
                </a:r>
                <a:r>
                  <a:rPr lang="en-US" baseline="0"/>
                  <a:t> Ranking</a:t>
                </a:r>
                <a:endParaRPr 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156704383"/>
        <c:crosses val="autoZero"/>
        <c:crossBetween val="between"/>
        <c:majorUnit val="1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  <c:userShapes r:id="rId5"/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8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0.73106</cdr:x>
      <cdr:y>0.70789</cdr:y>
    </cdr:from>
    <cdr:to>
      <cdr:x>0.88542</cdr:x>
      <cdr:y>1</cdr:y>
    </cdr:to>
    <cdr:sp macro="" textlink="">
      <cdr:nvSpPr>
        <cdr:cNvPr id="2" name="TextBox 1">
          <a:extLst xmlns:a="http://schemas.openxmlformats.org/drawingml/2006/main">
            <a:ext uri="{FF2B5EF4-FFF2-40B4-BE49-F238E27FC236}">
              <a16:creationId xmlns:a16="http://schemas.microsoft.com/office/drawing/2014/main" id="{FFE59684-56A2-A63A-2097-DD04982A3A53}"/>
            </a:ext>
          </a:extLst>
        </cdr:cNvPr>
        <cdr:cNvSpPr txBox="1"/>
      </cdr:nvSpPr>
      <cdr:spPr>
        <a:xfrm xmlns:a="http://schemas.openxmlformats.org/drawingml/2006/main">
          <a:off x="4330779" y="2642223"/>
          <a:ext cx="914400" cy="91440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endParaRPr lang="en-US" sz="1100"/>
        </a:p>
      </cdr:txBody>
    </cdr:sp>
  </cdr:relSizeAnchor>
  <cdr:relSizeAnchor xmlns:cdr="http://schemas.openxmlformats.org/drawingml/2006/chartDrawing">
    <cdr:from>
      <cdr:x>0.67424</cdr:x>
      <cdr:y>0.77599</cdr:y>
    </cdr:from>
    <cdr:to>
      <cdr:x>1</cdr:x>
      <cdr:y>1</cdr:y>
    </cdr:to>
    <cdr:sp macro="" textlink="">
      <cdr:nvSpPr>
        <cdr:cNvPr id="3" name="TextBox 2">
          <a:extLst xmlns:a="http://schemas.openxmlformats.org/drawingml/2006/main">
            <a:ext uri="{FF2B5EF4-FFF2-40B4-BE49-F238E27FC236}">
              <a16:creationId xmlns:a16="http://schemas.microsoft.com/office/drawing/2014/main" id="{E41C7C12-BDCA-24D3-A03E-50991981B75D}"/>
            </a:ext>
          </a:extLst>
        </cdr:cNvPr>
        <cdr:cNvSpPr txBox="1"/>
      </cdr:nvSpPr>
      <cdr:spPr>
        <a:xfrm xmlns:a="http://schemas.openxmlformats.org/drawingml/2006/main">
          <a:off x="3994190" y="2429050"/>
          <a:ext cx="1929775" cy="701226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r>
            <a:rPr lang="en-US" sz="900"/>
            <a:t>Regional</a:t>
          </a:r>
          <a:r>
            <a:rPr lang="en-US" sz="900" baseline="0">
              <a:effectLst/>
              <a:latin typeface="+mn-lt"/>
              <a:ea typeface="+mn-ea"/>
              <a:cs typeface="+mn-cs"/>
            </a:rPr>
            <a:t> r</a:t>
          </a:r>
          <a:r>
            <a:rPr lang="en-US" sz="900">
              <a:effectLst/>
              <a:latin typeface="+mn-lt"/>
              <a:ea typeface="+mn-ea"/>
              <a:cs typeface="+mn-cs"/>
            </a:rPr>
            <a:t>anking</a:t>
          </a:r>
          <a:r>
            <a:rPr lang="en-US" sz="900" baseline="0">
              <a:effectLst/>
              <a:latin typeface="+mn-lt"/>
              <a:ea typeface="+mn-ea"/>
              <a:cs typeface="+mn-cs"/>
            </a:rPr>
            <a:t> is out of 12 </a:t>
          </a:r>
        </a:p>
        <a:p xmlns:a="http://schemas.openxmlformats.org/drawingml/2006/main">
          <a:r>
            <a:rPr lang="en-US" sz="900" baseline="0">
              <a:effectLst/>
              <a:latin typeface="+mn-lt"/>
              <a:ea typeface="+mn-ea"/>
              <a:cs typeface="+mn-cs"/>
            </a:rPr>
            <a:t>Southeasten states including AL, AR, FL, </a:t>
          </a:r>
        </a:p>
        <a:p xmlns:a="http://schemas.openxmlformats.org/drawingml/2006/main">
          <a:r>
            <a:rPr lang="en-US" sz="900" baseline="0">
              <a:effectLst/>
              <a:latin typeface="+mn-lt"/>
              <a:ea typeface="+mn-ea"/>
              <a:cs typeface="+mn-cs"/>
            </a:rPr>
            <a:t>GA, KY, LA, MS, NC, SC, TN, VA and WV .</a:t>
          </a:r>
          <a:endParaRPr lang="en-US" sz="900">
            <a:effectLst/>
          </a:endParaRPr>
        </a:p>
        <a:p xmlns:a="http://schemas.openxmlformats.org/drawingml/2006/main">
          <a:r>
            <a:rPr lang="en-US" sz="900" baseline="0">
              <a:effectLst/>
              <a:latin typeface="+mn-lt"/>
              <a:ea typeface="+mn-ea"/>
              <a:cs typeface="+mn-cs"/>
            </a:rPr>
            <a:t>12  is the worst performance. </a:t>
          </a:r>
        </a:p>
        <a:p xmlns:a="http://schemas.openxmlformats.org/drawingml/2006/main">
          <a:r>
            <a:rPr lang="en-US" sz="900" baseline="0">
              <a:effectLst/>
              <a:latin typeface="+mn-lt"/>
              <a:ea typeface="+mn-ea"/>
              <a:cs typeface="+mn-cs"/>
            </a:rPr>
            <a:t>1 is the best performance.</a:t>
          </a:r>
          <a:endParaRPr lang="en-US" sz="900">
            <a:effectLst/>
          </a:endParaRPr>
        </a:p>
        <a:p xmlns:a="http://schemas.openxmlformats.org/drawingml/2006/main">
          <a:r>
            <a:rPr lang="en-US" sz="1100"/>
            <a:t> </a:t>
          </a:r>
        </a:p>
      </cdr:txBody>
    </cdr:sp>
  </cdr:relSizeAnchor>
  <cdr:relSizeAnchor xmlns:cdr="http://schemas.openxmlformats.org/drawingml/2006/chartDrawing">
    <cdr:from>
      <cdr:x>0.01894</cdr:x>
      <cdr:y>0.82975</cdr:y>
    </cdr:from>
    <cdr:to>
      <cdr:x>0.33523</cdr:x>
      <cdr:y>1</cdr:y>
    </cdr:to>
    <cdr:sp macro="" textlink="">
      <cdr:nvSpPr>
        <cdr:cNvPr id="6" name="TextBox 5">
          <a:extLst xmlns:a="http://schemas.openxmlformats.org/drawingml/2006/main">
            <a:ext uri="{FF2B5EF4-FFF2-40B4-BE49-F238E27FC236}">
              <a16:creationId xmlns:a16="http://schemas.microsoft.com/office/drawing/2014/main" id="{8ABEE28F-DE85-09E5-2EBD-21F889CAF8BC}"/>
            </a:ext>
          </a:extLst>
        </cdr:cNvPr>
        <cdr:cNvSpPr txBox="1"/>
      </cdr:nvSpPr>
      <cdr:spPr>
        <a:xfrm xmlns:a="http://schemas.openxmlformats.org/drawingml/2006/main">
          <a:off x="112197" y="2597345"/>
          <a:ext cx="1873678" cy="53293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r>
            <a:rPr lang="en-US" sz="900">
              <a:effectLst/>
              <a:latin typeface="+mn-lt"/>
              <a:ea typeface="+mn-ea"/>
              <a:cs typeface="+mn-cs"/>
            </a:rPr>
            <a:t>Data obtained</a:t>
          </a:r>
          <a:r>
            <a:rPr lang="en-US" sz="900" baseline="0">
              <a:effectLst/>
              <a:latin typeface="+mn-lt"/>
              <a:ea typeface="+mn-ea"/>
              <a:cs typeface="+mn-cs"/>
            </a:rPr>
            <a:t> from the </a:t>
          </a:r>
          <a:endParaRPr lang="en-US" sz="900">
            <a:effectLst/>
          </a:endParaRPr>
        </a:p>
        <a:p xmlns:a="http://schemas.openxmlformats.org/drawingml/2006/main">
          <a:r>
            <a:rPr lang="en-US" sz="900">
              <a:effectLst/>
              <a:latin typeface="+mn-lt"/>
              <a:ea typeface="+mn-ea"/>
              <a:cs typeface="+mn-cs"/>
            </a:rPr>
            <a:t>Commonwealth Fund</a:t>
          </a:r>
          <a:r>
            <a:rPr lang="en-US" sz="900" baseline="0">
              <a:effectLst/>
              <a:latin typeface="+mn-lt"/>
              <a:ea typeface="+mn-ea"/>
              <a:cs typeface="+mn-cs"/>
            </a:rPr>
            <a:t> </a:t>
          </a:r>
          <a:r>
            <a:rPr lang="en-US" sz="900">
              <a:effectLst/>
              <a:latin typeface="+mn-lt"/>
              <a:ea typeface="+mn-ea"/>
              <a:cs typeface="+mn-cs"/>
            </a:rPr>
            <a:t>State Health </a:t>
          </a:r>
        </a:p>
        <a:p xmlns:a="http://schemas.openxmlformats.org/drawingml/2006/main">
          <a:r>
            <a:rPr lang="en-US" sz="900">
              <a:effectLst/>
              <a:latin typeface="+mn-lt"/>
              <a:ea typeface="+mn-ea"/>
              <a:cs typeface="+mn-cs"/>
            </a:rPr>
            <a:t>system</a:t>
          </a:r>
          <a:r>
            <a:rPr lang="en-US" sz="900" baseline="0">
              <a:effectLst/>
              <a:latin typeface="+mn-lt"/>
              <a:ea typeface="+mn-ea"/>
              <a:cs typeface="+mn-cs"/>
            </a:rPr>
            <a:t> </a:t>
          </a:r>
          <a:r>
            <a:rPr lang="en-US" sz="900">
              <a:effectLst/>
              <a:latin typeface="+mn-lt"/>
              <a:ea typeface="+mn-ea"/>
              <a:cs typeface="+mn-cs"/>
            </a:rPr>
            <a:t>scorecards</a:t>
          </a:r>
          <a:r>
            <a:rPr lang="en-US" sz="900" baseline="0">
              <a:effectLst/>
              <a:latin typeface="+mn-lt"/>
              <a:ea typeface="+mn-ea"/>
              <a:cs typeface="+mn-cs"/>
            </a:rPr>
            <a:t>.</a:t>
          </a:r>
          <a:r>
            <a:rPr lang="en-US" sz="900">
              <a:effectLst/>
              <a:latin typeface="+mn-lt"/>
              <a:ea typeface="+mn-ea"/>
              <a:cs typeface="+mn-cs"/>
            </a:rPr>
            <a:t> </a:t>
          </a:r>
          <a:endParaRPr lang="en-US" sz="900">
            <a:effectLst/>
          </a:endParaRPr>
        </a:p>
        <a:p xmlns:a="http://schemas.openxmlformats.org/drawingml/2006/main">
          <a:endParaRPr lang="en-US" sz="1100"/>
        </a:p>
      </cdr:txBody>
    </cdr:sp>
  </cdr:relSizeAnchor>
</c:userShap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0E2841"/>
    </a:dk2>
    <a:lt2>
      <a:srgbClr val="E8E8E8"/>
    </a:lt2>
    <a:accent1>
      <a:srgbClr val="156082"/>
    </a:accent1>
    <a:accent2>
      <a:srgbClr val="E97132"/>
    </a:accent2>
    <a:accent3>
      <a:srgbClr val="196B24"/>
    </a:accent3>
    <a:accent4>
      <a:srgbClr val="0F9ED5"/>
    </a:accent4>
    <a:accent5>
      <a:srgbClr val="A02B93"/>
    </a:accent5>
    <a:accent6>
      <a:srgbClr val="4EA72E"/>
    </a:accent6>
    <a:hlink>
      <a:srgbClr val="467886"/>
    </a:hlink>
    <a:folHlink>
      <a:srgbClr val="96607D"/>
    </a:folHlink>
  </a:clrScheme>
  <a:fontScheme name="Office">
    <a:majorFont>
      <a:latin typeface="Aptos Display" panose="0211000402020202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Aptos Narrow" panose="0211000402020202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  <a:ln w="2540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12</Words>
  <Characters>89</Characters>
  <Application>Microsoft Office Word</Application>
  <DocSecurity>0</DocSecurity>
  <Lines>25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 Eriator</dc:creator>
  <cp:keywords/>
  <dc:description/>
  <cp:lastModifiedBy>I Eriator</cp:lastModifiedBy>
  <cp:revision>2</cp:revision>
  <dcterms:created xsi:type="dcterms:W3CDTF">2025-01-07T03:12:00Z</dcterms:created>
  <dcterms:modified xsi:type="dcterms:W3CDTF">2025-01-07T03:12:00Z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5233f20b-fe8a-472a-b1c5-e28beb8f53e7</vt:lpwstr>
  </property>
</Properties>
</file>